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09af368847e4669" /><Relationship Type="http://schemas.openxmlformats.org/package/2006/relationships/metadata/core-properties" Target="/docProps/core.xml" Id="R2b2911b5db054fa4" /><Relationship Type="http://schemas.openxmlformats.org/officeDocument/2006/relationships/extended-properties" Target="/docProps/app.xml" Id="Rc40b77285f67432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3311.14</w:t>
      </w:r>
    </w:p>
    <w:p>
      <w:pPr>
        <w:pStyle w:val="Heading3"/>
        <w:numPr>
          <w:numId w:val="1"/>
        </w:numPr>
      </w:pPr>
      <w:r>
        <w:t xml:space="preserve">Data</w:t>
        <w:tab/>
        <w:t xml:space="preserve">{​​​​{ds.b}}:</w:t>
        <w:tab/>
      </w:r>
      <w:r>
        <w:rPr>
          <w:rStyle w:val="Strong"/>
        </w:rPr>
        <w:t>240.33</w:t>
      </w:r>
    </w:p>
    <w:p>
      <w:pPr>
        <w:pStyle w:val="Heading3"/>
        <w:numPr>
          <w:numId w:val="1"/>
        </w:numPr>
      </w:pPr>
      <w:r>
        <w:t xml:space="preserve">Data</w:t>
        <w:tab/>
        <w:t xml:space="preserve">{​​​​{ds.ta}}:</w:t>
        <w:tab/>
      </w:r>
      <w:r>
        <w:rPr>
          <w:rStyle w:val="Strong"/>
        </w:rPr>
        <w:t>nunc</w:t>
      </w:r>
    </w:p>
    <w:p>
      <w:pPr>
        <w:pStyle w:val="Heading3"/>
        <w:numPr>
          <w:numId w:val="1"/>
        </w:numPr>
      </w:pPr>
      <w:r>
        <w:t xml:space="preserve">Data</w:t>
        <w:tab/>
        <w:t xml:space="preserve">{​​​​{ds.tb}}:</w:t>
        <w:tab/>
      </w:r>
      <w:r>
        <w:rPr>
          <w:rStyle w:val="Strong"/>
        </w:rPr>
        <w:t>ullamcorper</w:t>
      </w:r>
    </w:p>
    <w:p>
      <w:pPr>
        <w:pStyle w:val="Heading3"/>
        <w:numPr>
          <w:numId w:val="1"/>
        </w:numPr>
      </w:pPr>
      <w:r>
        <w:t xml:space="preserve">Add</w:t>
        <w:tab/>
        <w:t xml:space="preserve">{​​​​{calc ds.a + ds.b}}:</w:t>
        <w:tab/>
      </w:r>
      <w:r>
        <w:rPr>
          <w:rStyle w:val="Strong"/>
        </w:rPr>
        <w:t/>
        <w:t/>
        <w:t>3551.47</w:t>
        <w:t/>
        <w:t/>
      </w:r>
    </w:p>
    <w:p>
      <w:pPr>
        <w:pStyle w:val="Heading3"/>
        <w:numPr>
          <w:numId w:val="1"/>
        </w:numPr>
      </w:pPr>
      <w:r>
        <w:t xml:space="preserve">Subtract</w:t>
        <w:tab/>
        <w:t xml:space="preserve">{​​​​{calc ds.a - ds.b}}:</w:t>
        <w:tab/>
      </w:r>
      <w:r>
        <w:rPr>
          <w:rStyle w:val="Strong"/>
        </w:rPr>
        <w:t/>
        <w:t/>
        <w:t>3070.81</w:t>
        <w:t/>
        <w:t/>
      </w:r>
    </w:p>
    <w:p>
      <w:pPr>
        <w:pStyle w:val="Heading3"/>
        <w:numPr>
          <w:numId w:val="1"/>
        </w:numPr>
      </w:pPr>
      <w:r>
        <w:t xml:space="preserve">Multiply</w:t>
        <w:tab/>
        <w:t xml:space="preserve">{​​​​{calc ds.a * ds.b}}:</w:t>
        <w:tab/>
      </w:r>
      <w:r>
        <w:rPr>
          <w:rStyle w:val="Strong"/>
        </w:rPr>
        <w:t/>
        <w:t/>
        <w:t>795766.2762</w:t>
        <w:t/>
        <w:t/>
      </w:r>
    </w:p>
    <w:p>
      <w:pPr>
        <w:pStyle w:val="Heading3"/>
        <w:numPr>
          <w:numId w:val="1"/>
        </w:numPr>
      </w:pPr>
      <w:r>
        <w:t xml:space="preserve">Divide</w:t>
        <w:tab/>
        <w:t xml:space="preserve">{​​​​{calc ds.a / ds.b}}:</w:t>
        <w:tab/>
      </w:r>
      <w:r>
        <w:rPr>
          <w:rStyle w:val="Strong"/>
        </w:rPr>
        <w:t/>
        <w:t/>
        <w:t>13.777472641784213</w:t>
        <w:t/>
        <w:t/>
      </w:r>
    </w:p>
    <w:p>
      <w:pPr>
        <w:pStyle w:val="Heading3"/>
        <w:numPr>
          <w:numId w:val="1"/>
        </w:numPr>
      </w:pPr>
      <w:r>
        <w:t xml:space="preserve">Modulus</w:t>
        <w:tab/>
        <w:t xml:space="preserve">{​​​​{calc ds.a Mod ds.b}}:</w:t>
        <w:tab/>
      </w:r>
      <w:r>
        <w:rPr>
          <w:rStyle w:val="Strong"/>
        </w:rPr>
        <w:t/>
        <w:t/>
        <w:t>186</w:t>
        <w:t/>
        <w:t/>
      </w:r>
    </w:p>
    <w:p>
      <w:pPr>
        <w:pStyle w:val="Heading3"/>
        <w:numPr>
          <w:numId w:val="1"/>
        </w:numPr>
      </w:pPr>
      <w:r>
        <w:t xml:space="preserve">Concatenate</w:t>
        <w:tab/>
        <w:t xml:space="preserve">{​​​​{calc ds.ta &amp; ds.tb}}:</w:t>
        <w:tab/>
      </w:r>
      <w:r>
        <w:rPr>
          <w:rStyle w:val="Strong"/>
        </w:rPr>
        <w:t/>
        <w:t/>
        <w:t>nuncullamcorper</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True</w:t>
        <w:t/>
        <w:t/>
      </w:r>
    </w:p>
    <w:p>
      <w:pPr>
        <w:pStyle w:val="Heading3"/>
        <w:numPr>
          <w:numId w:val="1"/>
        </w:numPr>
      </w:pPr>
      <w:r>
        <w:t xml:space="preserve">Greater or equal</w:t>
        <w:tab/>
        <w:t xml:space="preserve">{​​​​{calc ds.a &gt;= ds.b}}:</w:t>
        <w:tab/>
      </w:r>
      <w:r>
        <w:rPr>
          <w:rStyle w:val="Strong"/>
        </w:rPr>
        <w:t/>
        <w:t/>
        <w:t>True</w:t>
        <w:t/>
        <w:t/>
      </w:r>
    </w:p>
    <w:p>
      <w:pPr>
        <w:pStyle w:val="Heading3"/>
        <w:numPr>
          <w:numId w:val="1"/>
        </w:numPr>
      </w:pPr>
      <w:r>
        <w:t xml:space="preserve">Less than</w:t>
        <w:tab/>
        <w:t xml:space="preserve">{​​​​{calc ds.a &lt; ds.b}}:</w:t>
        <w:tab/>
      </w:r>
      <w:r>
        <w:rPr>
          <w:rStyle w:val="Strong"/>
        </w:rPr>
        <w:t/>
        <w:t/>
        <w:t>False</w:t>
        <w:t/>
        <w:t/>
      </w:r>
    </w:p>
    <w:p>
      <w:pPr>
        <w:pStyle w:val="Heading3"/>
        <w:numPr>
          <w:numId w:val="1"/>
        </w:numPr>
      </w:pPr>
      <w:r>
        <w:t xml:space="preserve">Less or equal</w:t>
        <w:tab/>
        <w:t xml:space="preserve">{​​​​{calc ds.a &lt;= ds.b}}:</w:t>
        <w:tab/>
      </w:r>
      <w:r>
        <w:rPr>
          <w:rStyle w:val="Strong"/>
        </w:rPr>
        <w:t/>
        <w:t/>
        <w:t>False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c38b11a7acf457f" /><Relationship Type="http://schemas.openxmlformats.org/officeDocument/2006/relationships/theme" Target="/word/theme/theme1.xml" Id="Rca2fa39e090f4f78" /><Relationship Type="http://schemas.openxmlformats.org/officeDocument/2006/relationships/styles" Target="/word/styles.xml" Id="Rbf59e50e9ae945f7" /><Relationship Type="http://schemas.openxmlformats.org/officeDocument/2006/relationships/numbering" Target="/word/numbering.xml" Id="R8044168ab3a14e7a" /><Relationship Type="http://schemas.openxmlformats.org/officeDocument/2006/relationships/fontTable" Target="/word/fontTable.xml" Id="R6ca4c23b7b6d41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