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ddb6badc24269" /><Relationship Type="http://schemas.openxmlformats.org/package/2006/relationships/metadata/core-properties" Target="/docProps/core.xml" Id="R61910c57872f4e83" /><Relationship Type="http://schemas.openxmlformats.org/officeDocument/2006/relationships/extended-properties" Target="/docProps/app.xml" Id="R6a99b29c3fb34b0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wps:spPr>
                  <wps:style>
                    <a:lnRef idx="0"/>
                    <a:fillRef idx="0"/>
                    <a:effectRef idx="4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68f8186db1a4165" /><Relationship Type="http://schemas.openxmlformats.org/officeDocument/2006/relationships/theme" Target="/word/theme/theme1.xml" Id="Ra598573134d84c8c" /><Relationship Type="http://schemas.openxmlformats.org/officeDocument/2006/relationships/styles" Target="/word/styles.xml" Id="Re9cb9cb3aefc4a55" /><Relationship Type="http://schemas.openxmlformats.org/officeDocument/2006/relationships/fontTable" Target="/word/fontTable.xml" Id="R1a0ffbf28a56420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  <a:scene3d>
            <a:camera prst="orthographicFront"/>
            <a:lightRig rig="threePt" dir="t"/>
          </a:scene3d>
          <a:sp3d z="615950" extrusionH="425450" contourW="552450" prstMaterial="clear">
            <a:bevelT w="234950" h="742950" prst="angle"/>
            <a:bevelB w="146050" h="273050" prst="artDeco"/>
            <a:extrusionClr>
              <a:schemeClr val="accent1"/>
            </a:extrusionClr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